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3268BA" w:rsidP="00A81622">
      <w:pPr>
        <w:rPr>
          <w:rFonts w:asciiTheme="majorHAnsi" w:hAnsiTheme="majorHAnsi" w:cstheme="majorHAnsi"/>
          <w:b/>
        </w:rPr>
      </w:pPr>
      <w:r w:rsidRPr="0073662B">
        <w:rPr>
          <w:rFonts w:asciiTheme="majorHAnsi" w:hAnsiTheme="majorHAnsi" w:cstheme="majorHAnsi"/>
          <w:b/>
        </w:rPr>
        <w:t xml:space="preserve">3GPP TSG-RAN WG1 </w:t>
      </w:r>
      <w:r w:rsidR="00A5442C" w:rsidRPr="0073662B">
        <w:rPr>
          <w:rFonts w:asciiTheme="majorHAnsi" w:hAnsiTheme="majorHAnsi" w:cstheme="majorHAnsi"/>
          <w:b/>
        </w:rPr>
        <w:t>RAN1#88</w:t>
      </w:r>
      <w:r w:rsidR="00F51017" w:rsidRPr="0073662B">
        <w:rPr>
          <w:rFonts w:asciiTheme="majorHAnsi" w:hAnsiTheme="majorHAnsi" w:cstheme="majorHAnsi"/>
          <w:b/>
        </w:rPr>
        <w:t>b</w:t>
      </w:r>
      <w:r w:rsidRPr="0073662B">
        <w:rPr>
          <w:rFonts w:asciiTheme="majorHAnsi" w:hAnsiTheme="majorHAnsi" w:cstheme="majorHAnsi"/>
          <w:b/>
        </w:rPr>
        <w:tab/>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hAnsiTheme="majorHAnsi" w:cstheme="majorHAnsi"/>
          <w:b/>
        </w:rPr>
        <w:t xml:space="preserve">      </w:t>
      </w:r>
      <w:r w:rsidRPr="0073662B">
        <w:rPr>
          <w:rFonts w:asciiTheme="majorHAnsi" w:hAnsiTheme="majorHAnsi" w:cstheme="majorHAnsi"/>
          <w:b/>
        </w:rPr>
        <w:tab/>
        <w:t xml:space="preserve">                  </w:t>
      </w:r>
      <w:r w:rsidR="00654EA7" w:rsidRPr="00654EA7">
        <w:rPr>
          <w:rFonts w:asciiTheme="majorHAnsi" w:hAnsiTheme="majorHAnsi" w:cstheme="majorHAnsi"/>
          <w:b/>
        </w:rPr>
        <w:t>R1-170</w:t>
      </w:r>
      <w:r w:rsidR="00DD5D89">
        <w:rPr>
          <w:rFonts w:asciiTheme="majorHAnsi" w:hAnsiTheme="majorHAnsi" w:cstheme="majorHAnsi"/>
          <w:b/>
        </w:rPr>
        <w:t>9800</w:t>
      </w:r>
    </w:p>
    <w:p w:rsidR="001F3086" w:rsidRPr="0073662B" w:rsidRDefault="009F65FA" w:rsidP="00A81622">
      <w:pPr>
        <w:rPr>
          <w:rFonts w:asciiTheme="majorHAnsi" w:eastAsia="MS Mincho" w:hAnsiTheme="majorHAnsi" w:cstheme="majorHAnsi"/>
          <w:b/>
          <w:bCs/>
          <w:sz w:val="28"/>
        </w:rPr>
      </w:pPr>
      <w:r w:rsidRPr="009F65FA">
        <w:rPr>
          <w:rFonts w:asciiTheme="majorHAnsi" w:hAnsiTheme="majorHAnsi" w:cstheme="majorHAnsi"/>
          <w:b/>
        </w:rPr>
        <w:t>Hangzhou, China, 15-19th May 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E43CEB">
        <w:rPr>
          <w:rFonts w:asciiTheme="majorHAnsi" w:eastAsia="MS Gothic" w:hAnsiTheme="majorHAnsi" w:cstheme="majorHAnsi"/>
          <w:noProof w:val="0"/>
          <w:sz w:val="24"/>
        </w:rPr>
        <w:t xml:space="preserve">Summary of AI </w:t>
      </w:r>
      <w:r w:rsidR="009F65FA">
        <w:rPr>
          <w:rFonts w:asciiTheme="majorHAnsi" w:eastAsia="MS Gothic" w:hAnsiTheme="majorHAnsi" w:cstheme="majorHAnsi"/>
          <w:noProof w:val="0"/>
          <w:sz w:val="24"/>
        </w:rPr>
        <w:t>7</w:t>
      </w:r>
      <w:r w:rsidR="00E43CEB">
        <w:rPr>
          <w:rFonts w:asciiTheme="majorHAnsi" w:eastAsia="MS Gothic" w:hAnsiTheme="majorHAnsi" w:cstheme="majorHAnsi"/>
          <w:noProof w:val="0"/>
          <w:sz w:val="24"/>
        </w:rPr>
        <w:t>.1.2.1.5 UL transmit diversity</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9F65FA">
        <w:rPr>
          <w:rFonts w:asciiTheme="majorHAnsi" w:eastAsia="MS Gothic" w:hAnsiTheme="majorHAnsi" w:cstheme="majorHAnsi"/>
          <w:noProof w:val="0"/>
          <w:sz w:val="24"/>
        </w:rPr>
        <w:t>7</w:t>
      </w:r>
      <w:r w:rsidR="00A30BCD" w:rsidRPr="0073662B">
        <w:rPr>
          <w:rFonts w:asciiTheme="majorHAnsi" w:eastAsia="MS Gothic" w:hAnsiTheme="majorHAnsi" w:cstheme="majorHAnsi"/>
          <w:noProof w:val="0"/>
          <w:sz w:val="24"/>
        </w:rPr>
        <w:t>.1.2.1.5</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Pr="0073662B" w:rsidRDefault="00DD4444" w:rsidP="00A81622">
      <w:pPr>
        <w:pStyle w:val="Titre1"/>
      </w:pPr>
      <w:r w:rsidRPr="0073662B">
        <w:t>Introduction</w:t>
      </w:r>
    </w:p>
    <w:p w:rsidR="00F853C6" w:rsidRPr="0073662B" w:rsidRDefault="00D87475" w:rsidP="00A30BCD">
      <w:pPr>
        <w:rPr>
          <w:rFonts w:eastAsia="MS Mincho"/>
          <w:iCs/>
          <w:szCs w:val="20"/>
        </w:rPr>
      </w:pPr>
      <w:r>
        <w:rPr>
          <w:rFonts w:eastAsia="MS Mincho"/>
          <w:iCs/>
          <w:szCs w:val="20"/>
        </w:rPr>
        <w:t>In</w:t>
      </w:r>
      <w:r w:rsidR="0019570E" w:rsidRPr="0073662B">
        <w:rPr>
          <w:rFonts w:eastAsia="MS Mincho"/>
          <w:iCs/>
          <w:szCs w:val="20"/>
        </w:rPr>
        <w:t xml:space="preserve"> RAN1#88</w:t>
      </w:r>
      <w:r w:rsidR="009F65FA">
        <w:rPr>
          <w:rFonts w:eastAsia="MS Mincho"/>
          <w:iCs/>
          <w:szCs w:val="20"/>
        </w:rPr>
        <w:t>b</w:t>
      </w:r>
      <w:r w:rsidR="0019570E" w:rsidRPr="0073662B">
        <w:rPr>
          <w:rFonts w:eastAsia="MS Mincho"/>
          <w:iCs/>
          <w:szCs w:val="20"/>
        </w:rPr>
        <w:t xml:space="preserve"> </w:t>
      </w:r>
      <w:r>
        <w:rPr>
          <w:rFonts w:eastAsia="MS Mincho"/>
          <w:iCs/>
          <w:szCs w:val="20"/>
        </w:rPr>
        <w:fldChar w:fldCharType="begin"/>
      </w:r>
      <w:r>
        <w:rPr>
          <w:rFonts w:eastAsia="MS Mincho"/>
          <w:iCs/>
          <w:szCs w:val="20"/>
        </w:rPr>
        <w:instrText xml:space="preserve"> REF _Ref477366453 \r \h </w:instrText>
      </w:r>
      <w:r>
        <w:rPr>
          <w:rFonts w:eastAsia="MS Mincho"/>
          <w:iCs/>
          <w:szCs w:val="20"/>
        </w:rPr>
      </w:r>
      <w:r>
        <w:rPr>
          <w:rFonts w:eastAsia="MS Mincho"/>
          <w:iCs/>
          <w:szCs w:val="20"/>
        </w:rPr>
        <w:fldChar w:fldCharType="separate"/>
      </w:r>
      <w:r>
        <w:rPr>
          <w:rFonts w:eastAsia="MS Mincho"/>
          <w:iCs/>
          <w:szCs w:val="20"/>
        </w:rPr>
        <w:t>[1]</w:t>
      </w:r>
      <w:r>
        <w:rPr>
          <w:rFonts w:eastAsia="MS Mincho"/>
          <w:iCs/>
          <w:szCs w:val="20"/>
        </w:rPr>
        <w:fldChar w:fldCharType="end"/>
      </w:r>
      <w:r>
        <w:rPr>
          <w:rFonts w:eastAsia="MS Mincho"/>
          <w:iCs/>
          <w:szCs w:val="20"/>
        </w:rPr>
        <w:t xml:space="preserve"> </w:t>
      </w:r>
      <w:r w:rsidR="006E398E" w:rsidRPr="0073662B">
        <w:rPr>
          <w:rFonts w:eastAsia="MS Mincho"/>
          <w:iCs/>
          <w:szCs w:val="20"/>
        </w:rPr>
        <w:t xml:space="preserve"> </w:t>
      </w:r>
      <w:r w:rsidR="0019570E" w:rsidRPr="0073662B">
        <w:rPr>
          <w:rFonts w:eastAsia="MS Mincho"/>
          <w:iCs/>
          <w:szCs w:val="20"/>
        </w:rPr>
        <w:t>it was decided that:</w:t>
      </w:r>
    </w:p>
    <w:p w:rsidR="00D87475" w:rsidRPr="00D007C0" w:rsidRDefault="00D87475" w:rsidP="00D87475">
      <w:pPr>
        <w:numPr>
          <w:ilvl w:val="0"/>
          <w:numId w:val="46"/>
        </w:numPr>
        <w:spacing w:after="0"/>
        <w:jc w:val="left"/>
        <w:rPr>
          <w:rFonts w:eastAsia="MS Mincho"/>
          <w:i/>
          <w:szCs w:val="20"/>
        </w:rPr>
      </w:pPr>
      <w:r w:rsidRPr="00D007C0">
        <w:rPr>
          <w:rFonts w:eastAsia="MS Mincho"/>
          <w:i/>
          <w:szCs w:val="20"/>
        </w:rPr>
        <w:t>For DFTsOFDM in data channel, the following schemes are candidates for transmit diversity:</w:t>
      </w:r>
    </w:p>
    <w:p w:rsidR="00D87475" w:rsidRPr="00D007C0" w:rsidRDefault="00D87475" w:rsidP="00D87475">
      <w:pPr>
        <w:pStyle w:val="Paragraphedeliste"/>
        <w:numPr>
          <w:ilvl w:val="0"/>
          <w:numId w:val="47"/>
        </w:numPr>
        <w:ind w:leftChars="0"/>
        <w:rPr>
          <w:rFonts w:eastAsia="MS Mincho"/>
          <w:iCs/>
          <w:szCs w:val="20"/>
        </w:rPr>
      </w:pPr>
      <w:r w:rsidRPr="00D007C0">
        <w:rPr>
          <w:rFonts w:eastAsia="MS Mincho"/>
          <w:i/>
          <w:szCs w:val="20"/>
        </w:rPr>
        <w:t>Low PAPR Alamouti-based transmit diversity applied in frequency or time domain, transparent transmit diversity (e.g. short delay CDD, panel selection), time domain beam/precoder cycling.</w:t>
      </w:r>
    </w:p>
    <w:p w:rsidR="00E43CEB" w:rsidRDefault="00D87475" w:rsidP="00A30BCD">
      <w:pPr>
        <w:rPr>
          <w:rFonts w:eastAsia="MS Mincho"/>
          <w:szCs w:val="20"/>
        </w:rPr>
      </w:pPr>
      <w:r>
        <w:rPr>
          <w:rFonts w:eastAsia="MS Mincho"/>
          <w:szCs w:val="20"/>
        </w:rPr>
        <w:t xml:space="preserve">No agreement has been made for CP-OFDM UL transmit diversity, but </w:t>
      </w:r>
      <w:r>
        <w:t>several companies were targeting a unified framework with DL transmission scheme 2. At this meeting, concerning DL transmission schemes, it has been decided that:</w:t>
      </w:r>
    </w:p>
    <w:p w:rsidR="00D87475" w:rsidRPr="00D87475" w:rsidRDefault="00D87475" w:rsidP="00D87475">
      <w:pPr>
        <w:numPr>
          <w:ilvl w:val="0"/>
          <w:numId w:val="48"/>
        </w:numPr>
        <w:spacing w:after="0"/>
        <w:jc w:val="left"/>
        <w:rPr>
          <w:rFonts w:eastAsia="MS Mincho"/>
          <w:i/>
          <w:iCs/>
          <w:szCs w:val="20"/>
        </w:rPr>
      </w:pPr>
      <w:r w:rsidRPr="00D87475">
        <w:rPr>
          <w:rFonts w:eastAsia="MS Mincho"/>
          <w:i/>
          <w:iCs/>
          <w:szCs w:val="20"/>
        </w:rPr>
        <w:t xml:space="preserve">For NR in Rel-15, DL transmission scheme 2 is not explicitly supported for unicast PDSCH in specification </w:t>
      </w:r>
    </w:p>
    <w:p w:rsidR="00D87475" w:rsidRPr="00BC1EFD" w:rsidRDefault="00D87475" w:rsidP="00D87475">
      <w:pPr>
        <w:numPr>
          <w:ilvl w:val="1"/>
          <w:numId w:val="48"/>
        </w:numPr>
        <w:spacing w:after="0"/>
        <w:jc w:val="left"/>
        <w:rPr>
          <w:rFonts w:eastAsia="MS Mincho"/>
          <w:iCs/>
          <w:sz w:val="36"/>
        </w:rPr>
      </w:pPr>
      <w:r w:rsidRPr="00D87475">
        <w:rPr>
          <w:rFonts w:eastAsia="MS Mincho"/>
          <w:i/>
          <w:iCs/>
          <w:szCs w:val="20"/>
        </w:rPr>
        <w:t>Note: CSI feedback assuming open-loop/semi-open-loop and/or closed-loop transmissions is to be discussed separately</w:t>
      </w:r>
    </w:p>
    <w:p w:rsidR="0019570E" w:rsidRPr="00E43CEB" w:rsidRDefault="0019570E" w:rsidP="00A30BCD">
      <w:pPr>
        <w:rPr>
          <w:rFonts w:eastAsia="MS Mincho"/>
          <w:szCs w:val="20"/>
        </w:rPr>
      </w:pPr>
    </w:p>
    <w:p w:rsidR="002B4B53" w:rsidRPr="0073662B" w:rsidRDefault="00E43CEB" w:rsidP="00A81622">
      <w:pPr>
        <w:pBdr>
          <w:bottom w:val="single" w:sz="12" w:space="1" w:color="auto"/>
        </w:pBdr>
        <w:rPr>
          <w:rFonts w:eastAsia="MS Mincho"/>
          <w:iCs/>
          <w:szCs w:val="20"/>
        </w:rPr>
      </w:pPr>
      <w:r>
        <w:t xml:space="preserve">Based on the </w:t>
      </w:r>
      <w:r w:rsidR="00D87475">
        <w:t xml:space="preserve">current situation and on the </w:t>
      </w:r>
      <w:r>
        <w:t>submitted contributions</w:t>
      </w:r>
      <w:r w:rsidR="00D87475">
        <w:t xml:space="preserve"> </w:t>
      </w:r>
      <w:r w:rsidR="00D87475">
        <w:fldChar w:fldCharType="begin"/>
      </w:r>
      <w:r w:rsidR="00D87475">
        <w:instrText xml:space="preserve"> REF _Ref482881469 \r \h </w:instrText>
      </w:r>
      <w:r w:rsidR="00D87475">
        <w:fldChar w:fldCharType="separate"/>
      </w:r>
      <w:r w:rsidR="00D87475">
        <w:t>[2]</w:t>
      </w:r>
      <w:r w:rsidR="00D87475">
        <w:fldChar w:fldCharType="end"/>
      </w:r>
      <w:r w:rsidR="00D87475">
        <w:t xml:space="preserve"> - </w:t>
      </w:r>
      <w:r w:rsidR="00D87475">
        <w:fldChar w:fldCharType="begin"/>
      </w:r>
      <w:r w:rsidR="00D87475">
        <w:instrText xml:space="preserve"> REF _Ref482881473 \r \h </w:instrText>
      </w:r>
      <w:r w:rsidR="00D87475">
        <w:fldChar w:fldCharType="separate"/>
      </w:r>
      <w:r w:rsidR="00D87475">
        <w:t>[13]</w:t>
      </w:r>
      <w:r w:rsidR="00D87475">
        <w:fldChar w:fldCharType="end"/>
      </w:r>
      <w:r w:rsidR="008532BB">
        <w:t xml:space="preserve"> in RAN1#89</w:t>
      </w:r>
      <w:r>
        <w:t xml:space="preserve"> for this agenda item, the following </w:t>
      </w:r>
      <w:r w:rsidR="008532BB">
        <w:t>open issues and observations are identified</w:t>
      </w:r>
      <w:r>
        <w:t>.</w:t>
      </w:r>
    </w:p>
    <w:p w:rsidR="00A81622" w:rsidRPr="0073662B" w:rsidRDefault="00A81622" w:rsidP="00A81622">
      <w:pPr>
        <w:pBdr>
          <w:bottom w:val="single" w:sz="12" w:space="1" w:color="auto"/>
        </w:pBdr>
      </w:pPr>
    </w:p>
    <w:p w:rsidR="00EA0674" w:rsidRDefault="00E43CEB" w:rsidP="00A81622">
      <w:pPr>
        <w:pStyle w:val="Titre1"/>
      </w:pPr>
      <w:r>
        <w:t xml:space="preserve">UL transmit diversity </w:t>
      </w:r>
      <w:r w:rsidR="008532BB">
        <w:t>for CP-OFDM PUSCH</w:t>
      </w:r>
    </w:p>
    <w:p w:rsidR="008532BB" w:rsidRDefault="008532BB" w:rsidP="00B85BCE">
      <w:r>
        <w:t xml:space="preserve">Many simulations have been performed in the context of DL transmission scheme 2, but only one company provided results in an UL context </w:t>
      </w:r>
      <w:r>
        <w:fldChar w:fldCharType="begin"/>
      </w:r>
      <w:r>
        <w:instrText xml:space="preserve"> REF _Ref482882176 \r \h </w:instrText>
      </w:r>
      <w:r>
        <w:fldChar w:fldCharType="separate"/>
      </w:r>
      <w:r>
        <w:t>[9]</w:t>
      </w:r>
      <w:r>
        <w:fldChar w:fldCharType="end"/>
      </w:r>
      <w:r>
        <w:t>.</w:t>
      </w:r>
    </w:p>
    <w:p w:rsidR="00B85BCE" w:rsidRDefault="008532BB" w:rsidP="00B85BCE">
      <w:r>
        <w:t>The following alternatives remain for UL transmit diversity for CP-OFDM:</w:t>
      </w:r>
    </w:p>
    <w:p w:rsidR="008532BB" w:rsidRDefault="008532BB" w:rsidP="008532BB">
      <w:pPr>
        <w:pStyle w:val="Paragraphedeliste"/>
        <w:numPr>
          <w:ilvl w:val="0"/>
          <w:numId w:val="47"/>
        </w:numPr>
        <w:ind w:leftChars="0"/>
      </w:pPr>
      <w:r>
        <w:t>Alt. 1: transmit diversity is not explicitly supported for PUSCH</w:t>
      </w:r>
      <w:r w:rsidR="001B3C4B">
        <w:t xml:space="preserve"> i</w:t>
      </w:r>
      <w:bookmarkStart w:id="0" w:name="_GoBack"/>
      <w:bookmarkEnd w:id="0"/>
      <w:r w:rsidR="001B3C4B">
        <w:t>n Rel. 15</w:t>
      </w:r>
    </w:p>
    <w:p w:rsidR="008532BB" w:rsidRDefault="008532BB" w:rsidP="008532BB">
      <w:pPr>
        <w:pStyle w:val="Paragraphedeliste"/>
        <w:numPr>
          <w:ilvl w:val="1"/>
          <w:numId w:val="47"/>
        </w:numPr>
        <w:ind w:leftChars="0"/>
      </w:pPr>
      <w:r>
        <w:t>Supporting companies:</w:t>
      </w:r>
      <w:r w:rsidR="00B33177">
        <w:t xml:space="preserve"> Qualcomm, Huawei, </w:t>
      </w:r>
      <w:r w:rsidR="00312EE1">
        <w:t>Samsung</w:t>
      </w:r>
      <w:r w:rsidR="00BB5A30">
        <w:t>, Intel</w:t>
      </w:r>
      <w:r w:rsidR="00460874">
        <w:t>, Ericsson</w:t>
      </w:r>
      <w:r w:rsidR="00DD5D89">
        <w:t>, LGE</w:t>
      </w:r>
    </w:p>
    <w:p w:rsidR="008532BB" w:rsidRDefault="008532BB" w:rsidP="008532BB">
      <w:pPr>
        <w:pStyle w:val="Paragraphedeliste"/>
        <w:numPr>
          <w:ilvl w:val="0"/>
          <w:numId w:val="47"/>
        </w:numPr>
        <w:ind w:leftChars="0"/>
      </w:pPr>
      <w:r>
        <w:t xml:space="preserve">Alt. 2 non-transparent UL transmit diversity for CP-OFDM </w:t>
      </w:r>
    </w:p>
    <w:p w:rsidR="008532BB" w:rsidRDefault="00DA0399" w:rsidP="008532BB">
      <w:pPr>
        <w:pStyle w:val="Paragraphedeliste"/>
        <w:numPr>
          <w:ilvl w:val="1"/>
          <w:numId w:val="47"/>
        </w:numPr>
        <w:ind w:leftChars="0"/>
      </w:pPr>
      <w:r>
        <w:t>SFBC: Nokia</w:t>
      </w:r>
    </w:p>
    <w:p w:rsidR="00DA0399" w:rsidRPr="008B1671" w:rsidRDefault="00DA0399" w:rsidP="008532BB">
      <w:pPr>
        <w:pStyle w:val="Paragraphedeliste"/>
        <w:numPr>
          <w:ilvl w:val="1"/>
          <w:numId w:val="47"/>
        </w:numPr>
        <w:ind w:leftChars="0"/>
        <w:rPr>
          <w:lang w:val="fr-FR"/>
        </w:rPr>
      </w:pPr>
      <w:r w:rsidRPr="008B1671">
        <w:rPr>
          <w:lang w:val="fr-FR"/>
        </w:rPr>
        <w:t>Non-transparent precoder cycling: Nokia</w:t>
      </w:r>
      <w:r w:rsidR="008B1671" w:rsidRPr="008B1671">
        <w:rPr>
          <w:lang w:val="fr-FR"/>
        </w:rPr>
        <w:t>, ZTE</w:t>
      </w:r>
    </w:p>
    <w:p w:rsidR="00B85BCE" w:rsidRPr="008B1671" w:rsidRDefault="00B85BCE" w:rsidP="00B85BCE">
      <w:pPr>
        <w:pBdr>
          <w:bottom w:val="single" w:sz="12" w:space="1" w:color="auto"/>
        </w:pBdr>
        <w:rPr>
          <w:lang w:val="fr-FR"/>
        </w:rPr>
      </w:pPr>
    </w:p>
    <w:p w:rsidR="00324558" w:rsidRDefault="001229C1" w:rsidP="00A81622">
      <w:pPr>
        <w:pStyle w:val="Titre1"/>
      </w:pPr>
      <w:r>
        <w:t xml:space="preserve">UL transmit diversity for </w:t>
      </w:r>
      <w:r w:rsidR="008532BB">
        <w:t>DFTsOFDM PUSCH</w:t>
      </w:r>
    </w:p>
    <w:p w:rsidR="0025748B" w:rsidRDefault="008532BB" w:rsidP="0025748B">
      <w:r>
        <w:t xml:space="preserve">Only two companies provided simulation results for PUSCH DFTsOFDM UL transmit diversity </w:t>
      </w:r>
      <w:r>
        <w:fldChar w:fldCharType="begin"/>
      </w:r>
      <w:r>
        <w:instrText xml:space="preserve"> REF _Ref482882269 \r \h </w:instrText>
      </w:r>
      <w:r>
        <w:fldChar w:fldCharType="separate"/>
      </w:r>
      <w:r>
        <w:t>[7]</w:t>
      </w:r>
      <w:r>
        <w:fldChar w:fldCharType="end"/>
      </w:r>
      <w:r>
        <w:t xml:space="preserve">, </w:t>
      </w:r>
      <w:r>
        <w:fldChar w:fldCharType="begin"/>
      </w:r>
      <w:r>
        <w:instrText xml:space="preserve"> REF _Ref482882271 \r \h </w:instrText>
      </w:r>
      <w:r>
        <w:fldChar w:fldCharType="separate"/>
      </w:r>
      <w:r>
        <w:t>[11]</w:t>
      </w:r>
      <w:r>
        <w:fldChar w:fldCharType="end"/>
      </w:r>
      <w:r>
        <w:t>, recommending low PAPR Alamouti-based methods.</w:t>
      </w:r>
    </w:p>
    <w:p w:rsidR="008532BB" w:rsidRDefault="008532BB" w:rsidP="0025748B">
      <w:r>
        <w:t>The following candidates remain for UL transmit diversity with DFTsOFDM</w:t>
      </w:r>
    </w:p>
    <w:p w:rsidR="008532BB" w:rsidRDefault="008532BB" w:rsidP="008532BB">
      <w:pPr>
        <w:pStyle w:val="Paragraphedeliste"/>
        <w:numPr>
          <w:ilvl w:val="0"/>
          <w:numId w:val="47"/>
        </w:numPr>
        <w:ind w:leftChars="0"/>
      </w:pPr>
      <w:r w:rsidRPr="008532BB">
        <w:t xml:space="preserve">Low PAPR Alamouti-based transmit diversity </w:t>
      </w:r>
    </w:p>
    <w:p w:rsidR="008532BB" w:rsidRDefault="008532BB" w:rsidP="008532BB">
      <w:pPr>
        <w:pStyle w:val="Paragraphedeliste"/>
        <w:numPr>
          <w:ilvl w:val="1"/>
          <w:numId w:val="47"/>
        </w:numPr>
        <w:ind w:leftChars="0"/>
      </w:pPr>
      <w:r>
        <w:lastRenderedPageBreak/>
        <w:t xml:space="preserve">Supporting companies: </w:t>
      </w:r>
      <w:r w:rsidR="00B33177">
        <w:t xml:space="preserve">Mitsubishi Electric, </w:t>
      </w:r>
      <w:r>
        <w:t>Qualcomm, Interdigital</w:t>
      </w:r>
    </w:p>
    <w:p w:rsidR="008532BB" w:rsidRDefault="008532BB" w:rsidP="008532BB">
      <w:pPr>
        <w:pStyle w:val="Paragraphedeliste"/>
        <w:numPr>
          <w:ilvl w:val="0"/>
          <w:numId w:val="47"/>
        </w:numPr>
        <w:ind w:leftChars="0"/>
      </w:pPr>
      <w:r w:rsidRPr="008532BB">
        <w:t>transparent transmit diversity (e.g. short delay CDD, panel selection</w:t>
      </w:r>
      <w:r>
        <w:t>, transparent time domain beam/precoder cycling)</w:t>
      </w:r>
    </w:p>
    <w:p w:rsidR="008532BB" w:rsidRDefault="008532BB" w:rsidP="008532BB">
      <w:pPr>
        <w:pStyle w:val="Paragraphedeliste"/>
        <w:numPr>
          <w:ilvl w:val="1"/>
          <w:numId w:val="47"/>
        </w:numPr>
        <w:ind w:leftChars="0"/>
      </w:pPr>
      <w:r>
        <w:t xml:space="preserve">Supporting companies: </w:t>
      </w:r>
      <w:r w:rsidR="00EC1120">
        <w:t>IITH, Cewit, Reliance Jo</w:t>
      </w:r>
      <w:r w:rsidR="00F961A9">
        <w:t>, IITM, Tejas Networks</w:t>
      </w:r>
      <w:r w:rsidR="00DA0399">
        <w:t>, Nokia</w:t>
      </w:r>
      <w:r w:rsidR="00527FD3">
        <w:t>, Samsung</w:t>
      </w:r>
      <w:r w:rsidR="00BB5A30">
        <w:t>, Intel</w:t>
      </w:r>
      <w:r w:rsidR="008238DD">
        <w:t>, Ericsson</w:t>
      </w:r>
      <w:r w:rsidR="00DD5D89">
        <w:t>, LGE</w:t>
      </w:r>
    </w:p>
    <w:p w:rsidR="008532BB" w:rsidRDefault="008532BB" w:rsidP="008532BB">
      <w:pPr>
        <w:pStyle w:val="Paragraphedeliste"/>
        <w:numPr>
          <w:ilvl w:val="0"/>
          <w:numId w:val="47"/>
        </w:numPr>
        <w:ind w:leftChars="0"/>
      </w:pPr>
      <w:r>
        <w:t xml:space="preserve">Non-transparent </w:t>
      </w:r>
      <w:r w:rsidRPr="008532BB">
        <w:t>time domain beam/precoder cycling</w:t>
      </w:r>
      <w:r>
        <w:t>:</w:t>
      </w:r>
    </w:p>
    <w:p w:rsidR="008532BB" w:rsidRDefault="008532BB" w:rsidP="00D70612">
      <w:pPr>
        <w:pStyle w:val="Paragraphedeliste"/>
        <w:numPr>
          <w:ilvl w:val="1"/>
          <w:numId w:val="47"/>
        </w:numPr>
        <w:ind w:leftChars="0"/>
      </w:pPr>
      <w:r>
        <w:t xml:space="preserve">Supporting companies: </w:t>
      </w:r>
      <w:r w:rsidR="00EC1120">
        <w:t>IITH, Cewit, Reliance Jo</w:t>
      </w:r>
      <w:r w:rsidR="00F961A9">
        <w:t>, IITM, Tejas Networks</w:t>
      </w:r>
      <w:r w:rsidR="00527FD3">
        <w:t>, Samsung</w:t>
      </w:r>
      <w:r w:rsidR="008B1671">
        <w:t>, [ZTE]</w:t>
      </w:r>
    </w:p>
    <w:p w:rsidR="00BD7826" w:rsidRDefault="00BD7826" w:rsidP="0025748B"/>
    <w:p w:rsidR="00BD7826" w:rsidRPr="0073662B" w:rsidRDefault="00BD7826" w:rsidP="00BD7826">
      <w:pPr>
        <w:pBdr>
          <w:bottom w:val="single" w:sz="12" w:space="1" w:color="auto"/>
        </w:pBdr>
      </w:pPr>
    </w:p>
    <w:p w:rsidR="00BD7826" w:rsidRDefault="008532BB" w:rsidP="00BD7826">
      <w:pPr>
        <w:pStyle w:val="Titre1"/>
      </w:pPr>
      <w:r>
        <w:t>Proposed offline outcome</w:t>
      </w:r>
    </w:p>
    <w:p w:rsidR="00A351D7" w:rsidRDefault="00A351D7" w:rsidP="00BD7826"/>
    <w:p w:rsidR="008532BB" w:rsidRDefault="008532BB" w:rsidP="00BD7826">
      <w:r>
        <w:t>Possible offline conclusion</w:t>
      </w:r>
    </w:p>
    <w:p w:rsidR="008532BB" w:rsidRDefault="008532BB" w:rsidP="00BD7826">
      <w:r>
        <w:t>For DFTsOFDM</w:t>
      </w:r>
      <w:r w:rsidR="009C2C63">
        <w:t xml:space="preserve"> and CP-OFDM</w:t>
      </w:r>
      <w:r>
        <w:t xml:space="preserve">, companies are encouraged </w:t>
      </w:r>
      <w:r w:rsidR="009C2C63">
        <w:t>to provide evaluation results</w:t>
      </w:r>
      <w:r>
        <w:t xml:space="preserve"> for the next RAN1 meeting.</w:t>
      </w:r>
    </w:p>
    <w:p w:rsidR="00802DBF" w:rsidRPr="0073662B" w:rsidRDefault="00802DBF" w:rsidP="00802DBF">
      <w:pPr>
        <w:pBdr>
          <w:bottom w:val="single" w:sz="12" w:space="1" w:color="auto"/>
        </w:pBdr>
      </w:pPr>
    </w:p>
    <w:p w:rsidR="00802DBF" w:rsidRDefault="00802DBF" w:rsidP="00802DBF">
      <w:pPr>
        <w:pStyle w:val="Titre1"/>
      </w:pPr>
      <w:r>
        <w:t xml:space="preserve">Current list of related WFs </w:t>
      </w:r>
    </w:p>
    <w:p w:rsidR="00802DBF" w:rsidRDefault="00802DBF" w:rsidP="00BD7826"/>
    <w:p w:rsidR="00802DBF" w:rsidRPr="00BD7826" w:rsidRDefault="009C2C63" w:rsidP="009C2C63">
      <w:r>
        <w:t>-</w:t>
      </w:r>
    </w:p>
    <w:p w:rsidR="0049738E" w:rsidRPr="0073662B" w:rsidRDefault="0049738E">
      <w:pPr>
        <w:spacing w:after="0"/>
        <w:jc w:val="left"/>
      </w:pPr>
      <w:r w:rsidRPr="0073662B">
        <w:br w:type="page"/>
      </w:r>
    </w:p>
    <w:p w:rsidR="0049738E" w:rsidRPr="0073662B" w:rsidRDefault="0049738E" w:rsidP="0049738E">
      <w:pPr>
        <w:pStyle w:val="Titre1"/>
      </w:pPr>
      <w:r w:rsidRPr="0073662B">
        <w:lastRenderedPageBreak/>
        <w:t>References</w:t>
      </w:r>
    </w:p>
    <w:p w:rsidR="009F65FA" w:rsidRDefault="009F65FA" w:rsidP="00513487">
      <w:pPr>
        <w:pStyle w:val="Titre3"/>
        <w:numPr>
          <w:ilvl w:val="0"/>
          <w:numId w:val="10"/>
        </w:numPr>
      </w:pPr>
      <w:bookmarkStart w:id="1" w:name="_Ref477366453"/>
      <w:bookmarkStart w:id="2" w:name="_Ref468982085"/>
      <w:bookmarkStart w:id="3" w:name="_Ref461457447"/>
      <w:bookmarkStart w:id="4" w:name="_Ref457744160"/>
      <w:bookmarkStart w:id="5" w:name="_Ref468983461"/>
      <w:r>
        <w:t>Chairman’s notes, RAN1#89</w:t>
      </w:r>
      <w:r w:rsidR="0049738E" w:rsidRPr="0073662B">
        <w:t>, S</w:t>
      </w:r>
      <w:r w:rsidR="00217FBC" w:rsidRPr="0073662B">
        <w:t xml:space="preserve">pokane, Washington, </w:t>
      </w:r>
      <w:r>
        <w:t>April</w:t>
      </w:r>
      <w:r w:rsidR="00217FBC" w:rsidRPr="0073662B">
        <w:t xml:space="preserve"> 201</w:t>
      </w:r>
      <w:r w:rsidR="0049738E" w:rsidRPr="0073662B">
        <w:t>7</w:t>
      </w:r>
      <w:r w:rsidR="00217FBC" w:rsidRPr="0073662B">
        <w:t>.</w:t>
      </w:r>
      <w:bookmarkEnd w:id="1"/>
      <w:bookmarkEnd w:id="2"/>
      <w:bookmarkEnd w:id="3"/>
      <w:bookmarkEnd w:id="4"/>
      <w:bookmarkEnd w:id="5"/>
    </w:p>
    <w:p w:rsidR="009F65FA" w:rsidRPr="009F65FA" w:rsidRDefault="009F65FA" w:rsidP="00513487">
      <w:pPr>
        <w:pStyle w:val="Titre3"/>
        <w:numPr>
          <w:ilvl w:val="0"/>
          <w:numId w:val="10"/>
        </w:numPr>
      </w:pPr>
      <w:bookmarkStart w:id="6" w:name="_Ref482881469"/>
      <w:r w:rsidRPr="009F65FA">
        <w:t>R1-1707115 Diversity based uplink transmission schemes</w:t>
      </w:r>
      <w:r w:rsidRPr="009F65FA">
        <w:tab/>
        <w:t>ZTE</w:t>
      </w:r>
      <w:bookmarkEnd w:id="6"/>
    </w:p>
    <w:p w:rsidR="009F65FA" w:rsidRPr="009F65FA" w:rsidRDefault="009F65FA" w:rsidP="009F65FA">
      <w:pPr>
        <w:pStyle w:val="Titre3"/>
        <w:numPr>
          <w:ilvl w:val="0"/>
          <w:numId w:val="10"/>
        </w:numPr>
      </w:pPr>
      <w:r w:rsidRPr="009F65FA">
        <w:t>R1-1707351</w:t>
      </w:r>
      <w:r>
        <w:t xml:space="preserve"> </w:t>
      </w:r>
      <w:r w:rsidRPr="009F65FA">
        <w:t>On diversity based UL transmission</w:t>
      </w:r>
      <w:r w:rsidRPr="009F65FA">
        <w:tab/>
        <w:t>Intel Corporation</w:t>
      </w:r>
    </w:p>
    <w:p w:rsidR="009F65FA" w:rsidRPr="009F65FA" w:rsidRDefault="009F65FA" w:rsidP="009F65FA">
      <w:pPr>
        <w:pStyle w:val="Titre3"/>
        <w:numPr>
          <w:ilvl w:val="0"/>
          <w:numId w:val="10"/>
        </w:numPr>
      </w:pPr>
      <w:r w:rsidRPr="009F65FA">
        <w:t>R1-1707472</w:t>
      </w:r>
      <w:r>
        <w:t xml:space="preserve"> </w:t>
      </w:r>
      <w:r w:rsidRPr="009F65FA">
        <w:t>Further discussion on transmission diversity scheme in UL</w:t>
      </w:r>
      <w:r w:rsidRPr="009F65FA">
        <w:tab/>
        <w:t>CATT</w:t>
      </w:r>
    </w:p>
    <w:p w:rsidR="009F65FA" w:rsidRPr="009F65FA" w:rsidRDefault="009F65FA" w:rsidP="009F65FA">
      <w:pPr>
        <w:pStyle w:val="Titre3"/>
        <w:numPr>
          <w:ilvl w:val="0"/>
          <w:numId w:val="10"/>
        </w:numPr>
      </w:pPr>
      <w:r w:rsidRPr="009F65FA">
        <w:t>R1-1707602</w:t>
      </w:r>
      <w:r>
        <w:t xml:space="preserve"> </w:t>
      </w:r>
      <w:r w:rsidRPr="009F65FA">
        <w:t>Discussion on diversity transmission for UL</w:t>
      </w:r>
      <w:r w:rsidRPr="009F65FA">
        <w:tab/>
        <w:t>LG Electronics</w:t>
      </w:r>
    </w:p>
    <w:p w:rsidR="009F65FA" w:rsidRPr="009F65FA" w:rsidRDefault="009F65FA" w:rsidP="009F65FA">
      <w:pPr>
        <w:pStyle w:val="Titre3"/>
        <w:numPr>
          <w:ilvl w:val="0"/>
          <w:numId w:val="10"/>
        </w:numPr>
      </w:pPr>
      <w:r w:rsidRPr="009F65FA">
        <w:t>R1-1707739</w:t>
      </w:r>
      <w:r>
        <w:t xml:space="preserve"> </w:t>
      </w:r>
      <w:r w:rsidRPr="009F65FA">
        <w:t>TxD for UL</w:t>
      </w:r>
      <w:r w:rsidRPr="009F65FA">
        <w:tab/>
        <w:t>AT&amp;T</w:t>
      </w:r>
    </w:p>
    <w:p w:rsidR="009F65FA" w:rsidRPr="009F65FA" w:rsidRDefault="009F65FA" w:rsidP="009F65FA">
      <w:pPr>
        <w:pStyle w:val="Titre3"/>
        <w:numPr>
          <w:ilvl w:val="0"/>
          <w:numId w:val="10"/>
        </w:numPr>
      </w:pPr>
      <w:bookmarkStart w:id="7" w:name="_Ref482882269"/>
      <w:r w:rsidRPr="009F65FA">
        <w:t>R1-1707798</w:t>
      </w:r>
      <w:r>
        <w:t xml:space="preserve"> </w:t>
      </w:r>
      <w:r w:rsidRPr="009F65FA">
        <w:t>UL diversity transmission for DFTsOFDM</w:t>
      </w:r>
      <w:r w:rsidRPr="009F65FA">
        <w:tab/>
        <w:t>Mitsubishi Electric RCE</w:t>
      </w:r>
      <w:bookmarkEnd w:id="7"/>
    </w:p>
    <w:p w:rsidR="009F65FA" w:rsidRPr="009F65FA" w:rsidRDefault="009F65FA" w:rsidP="009F65FA">
      <w:pPr>
        <w:pStyle w:val="Titre3"/>
        <w:numPr>
          <w:ilvl w:val="0"/>
          <w:numId w:val="10"/>
        </w:numPr>
      </w:pPr>
      <w:r w:rsidRPr="009F65FA">
        <w:t>R1-1707946</w:t>
      </w:r>
      <w:r>
        <w:t xml:space="preserve"> </w:t>
      </w:r>
      <w:r w:rsidRPr="009F65FA">
        <w:t>Diversity transmission for UL</w:t>
      </w:r>
      <w:r w:rsidRPr="009F65FA">
        <w:tab/>
        <w:t>Samsung</w:t>
      </w:r>
    </w:p>
    <w:p w:rsidR="009F65FA" w:rsidRPr="009F65FA" w:rsidRDefault="009F65FA" w:rsidP="009F65FA">
      <w:pPr>
        <w:pStyle w:val="Titre3"/>
        <w:numPr>
          <w:ilvl w:val="0"/>
          <w:numId w:val="10"/>
        </w:numPr>
      </w:pPr>
      <w:bookmarkStart w:id="8" w:name="_Ref482882176"/>
      <w:r w:rsidRPr="009F65FA">
        <w:t>R1-1708131</w:t>
      </w:r>
      <w:r>
        <w:t xml:space="preserve"> </w:t>
      </w:r>
      <w:r w:rsidRPr="009F65FA">
        <w:t>Diversity-based transmission for UL</w:t>
      </w:r>
      <w:r w:rsidRPr="009F65FA">
        <w:tab/>
        <w:t>Huawei, HiSilicon</w:t>
      </w:r>
      <w:bookmarkEnd w:id="8"/>
    </w:p>
    <w:p w:rsidR="009F65FA" w:rsidRPr="009F65FA" w:rsidRDefault="009F65FA" w:rsidP="009F65FA">
      <w:pPr>
        <w:pStyle w:val="Titre3"/>
        <w:numPr>
          <w:ilvl w:val="0"/>
          <w:numId w:val="10"/>
        </w:numPr>
      </w:pPr>
      <w:r w:rsidRPr="009F65FA">
        <w:t>R1-1708223</w:t>
      </w:r>
      <w:r>
        <w:t xml:space="preserve"> </w:t>
      </w:r>
      <w:r w:rsidRPr="009F65FA">
        <w:t>Uplink diversity scheme for DFT-S-OFDM</w:t>
      </w:r>
      <w:r w:rsidRPr="009F65FA">
        <w:tab/>
        <w:t>IITH</w:t>
      </w:r>
    </w:p>
    <w:p w:rsidR="009F65FA" w:rsidRPr="009F65FA" w:rsidRDefault="009F65FA" w:rsidP="009F65FA">
      <w:pPr>
        <w:pStyle w:val="Titre3"/>
        <w:numPr>
          <w:ilvl w:val="0"/>
          <w:numId w:val="10"/>
        </w:numPr>
      </w:pPr>
      <w:bookmarkStart w:id="9" w:name="_Ref482882271"/>
      <w:r w:rsidRPr="009F65FA">
        <w:t>R1-1708583</w:t>
      </w:r>
      <w:r>
        <w:t xml:space="preserve"> </w:t>
      </w:r>
      <w:r w:rsidRPr="009F65FA">
        <w:t>On UL diversity transmission scheme</w:t>
      </w:r>
      <w:r w:rsidRPr="009F65FA">
        <w:tab/>
        <w:t>Qualcomm Incorporated</w:t>
      </w:r>
      <w:bookmarkEnd w:id="9"/>
    </w:p>
    <w:p w:rsidR="009F65FA" w:rsidRPr="009F65FA" w:rsidRDefault="009F65FA" w:rsidP="009F65FA">
      <w:pPr>
        <w:pStyle w:val="Titre3"/>
        <w:numPr>
          <w:ilvl w:val="0"/>
          <w:numId w:val="10"/>
        </w:numPr>
      </w:pPr>
      <w:r w:rsidRPr="009F65FA">
        <w:t>R1-1708671</w:t>
      </w:r>
      <w:r>
        <w:t xml:space="preserve"> </w:t>
      </w:r>
      <w:r w:rsidRPr="009F65FA">
        <w:t>Robust Transmission Scheme for PUSCH</w:t>
      </w:r>
      <w:r w:rsidRPr="009F65FA">
        <w:tab/>
        <w:t>Ericsson</w:t>
      </w:r>
    </w:p>
    <w:p w:rsidR="0049738E" w:rsidRPr="00603E6F" w:rsidRDefault="009F65FA" w:rsidP="009F65FA">
      <w:pPr>
        <w:pStyle w:val="Titre3"/>
        <w:numPr>
          <w:ilvl w:val="0"/>
          <w:numId w:val="10"/>
        </w:numPr>
      </w:pPr>
      <w:bookmarkStart w:id="10" w:name="_Ref482881473"/>
      <w:r w:rsidRPr="009F65FA">
        <w:t>R1-1708896</w:t>
      </w:r>
      <w:r>
        <w:t xml:space="preserve"> </w:t>
      </w:r>
      <w:r w:rsidRPr="009F65FA">
        <w:t>UL diversity schemes</w:t>
      </w:r>
      <w:r w:rsidRPr="009F65FA">
        <w:tab/>
        <w:t>Nokia, Alcatel-Lucent Shanghai Bell</w:t>
      </w:r>
      <w:bookmarkEnd w:id="10"/>
    </w:p>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63B" w:rsidRDefault="00AA763B" w:rsidP="00A81622">
      <w:r>
        <w:separator/>
      </w:r>
    </w:p>
  </w:endnote>
  <w:endnote w:type="continuationSeparator" w:id="0">
    <w:p w:rsidR="00AA763B" w:rsidRDefault="00AA763B" w:rsidP="00A81622">
      <w:r>
        <w:continuationSeparator/>
      </w:r>
    </w:p>
  </w:endnote>
  <w:endnote w:type="continuationNotice" w:id="1">
    <w:p w:rsidR="00AA763B" w:rsidRDefault="00AA763B"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63B" w:rsidRDefault="00AA763B" w:rsidP="00A81622">
      <w:r>
        <w:separator/>
      </w:r>
    </w:p>
  </w:footnote>
  <w:footnote w:type="continuationSeparator" w:id="0">
    <w:p w:rsidR="00AA763B" w:rsidRDefault="00AA763B" w:rsidP="00A81622">
      <w:r>
        <w:continuationSeparator/>
      </w:r>
    </w:p>
  </w:footnote>
  <w:footnote w:type="continuationNotice" w:id="1">
    <w:p w:rsidR="00AA763B" w:rsidRDefault="00AA763B"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1B72621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FD31E4"/>
    <w:multiLevelType w:val="hybridMultilevel"/>
    <w:tmpl w:val="552AA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1806C8"/>
    <w:multiLevelType w:val="hybridMultilevel"/>
    <w:tmpl w:val="1B3A0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71CD3"/>
    <w:multiLevelType w:val="multilevel"/>
    <w:tmpl w:val="838ABE6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E356E0"/>
    <w:multiLevelType w:val="hybridMultilevel"/>
    <w:tmpl w:val="C5F01B02"/>
    <w:lvl w:ilvl="0" w:tplc="69A4306A">
      <w:start w:val="7"/>
      <w:numFmt w:val="bullet"/>
      <w:lvlText w:val="-"/>
      <w:lvlJc w:val="left"/>
      <w:pPr>
        <w:ind w:left="1080" w:hanging="360"/>
      </w:pPr>
      <w:rPr>
        <w:rFonts w:ascii="Times New Roman" w:eastAsia="MS Mincho"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441E17"/>
    <w:multiLevelType w:val="hybridMultilevel"/>
    <w:tmpl w:val="03B6DB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0B611B"/>
    <w:multiLevelType w:val="hybridMultilevel"/>
    <w:tmpl w:val="2A86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C05867"/>
    <w:multiLevelType w:val="hybridMultilevel"/>
    <w:tmpl w:val="FE466F7E"/>
    <w:lvl w:ilvl="0" w:tplc="DE32BE16">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EE5DF7"/>
    <w:multiLevelType w:val="hybridMultilevel"/>
    <w:tmpl w:val="2D4E6E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55F0DF1"/>
    <w:multiLevelType w:val="hybridMultilevel"/>
    <w:tmpl w:val="000E92EE"/>
    <w:lvl w:ilvl="0" w:tplc="B3182334">
      <w:start w:val="1"/>
      <w:numFmt w:val="bullet"/>
      <w:lvlText w:val="-"/>
      <w:lvlJc w:val="left"/>
      <w:pPr>
        <w:ind w:left="720" w:hanging="360"/>
      </w:pPr>
      <w:rPr>
        <w:rFonts w:ascii="Times New Roman" w:eastAsia="SimSun" w:hAnsi="Times New Roman" w:cs="Times New Roman" w:hint="default"/>
        <w:b/>
        <w:sz w:val="20"/>
        <w:u w:val="none"/>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7"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37182A"/>
    <w:multiLevelType w:val="hybridMultilevel"/>
    <w:tmpl w:val="97507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42"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0662CA"/>
    <w:multiLevelType w:val="hybridMultilevel"/>
    <w:tmpl w:val="3CD4E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35"/>
  </w:num>
  <w:num w:numId="3">
    <w:abstractNumId w:val="39"/>
  </w:num>
  <w:num w:numId="4">
    <w:abstractNumId w:val="21"/>
  </w:num>
  <w:num w:numId="5">
    <w:abstractNumId w:val="44"/>
  </w:num>
  <w:num w:numId="6">
    <w:abstractNumId w:val="9"/>
  </w:num>
  <w:num w:numId="7">
    <w:abstractNumId w:val="27"/>
  </w:num>
  <w:num w:numId="8">
    <w:abstractNumId w:val="31"/>
  </w:num>
  <w:num w:numId="9">
    <w:abstractNumId w:val="11"/>
  </w:num>
  <w:num w:numId="10">
    <w:abstractNumId w:val="17"/>
  </w:num>
  <w:num w:numId="11">
    <w:abstractNumId w:val="2"/>
  </w:num>
  <w:num w:numId="12">
    <w:abstractNumId w:val="45"/>
  </w:num>
  <w:num w:numId="13">
    <w:abstractNumId w:val="26"/>
  </w:num>
  <w:num w:numId="14">
    <w:abstractNumId w:val="34"/>
  </w:num>
  <w:num w:numId="15">
    <w:abstractNumId w:val="41"/>
  </w:num>
  <w:num w:numId="16">
    <w:abstractNumId w:val="13"/>
  </w:num>
  <w:num w:numId="17">
    <w:abstractNumId w:val="8"/>
  </w:num>
  <w:num w:numId="18">
    <w:abstractNumId w:val="7"/>
  </w:num>
  <w:num w:numId="19">
    <w:abstractNumId w:val="42"/>
  </w:num>
  <w:num w:numId="20">
    <w:abstractNumId w:val="18"/>
  </w:num>
  <w:num w:numId="21">
    <w:abstractNumId w:val="30"/>
  </w:num>
  <w:num w:numId="22">
    <w:abstractNumId w:val="10"/>
  </w:num>
  <w:num w:numId="23">
    <w:abstractNumId w:val="39"/>
  </w:num>
  <w:num w:numId="24">
    <w:abstractNumId w:val="33"/>
  </w:num>
  <w:num w:numId="25">
    <w:abstractNumId w:val="19"/>
  </w:num>
  <w:num w:numId="26">
    <w:abstractNumId w:val="22"/>
  </w:num>
  <w:num w:numId="27">
    <w:abstractNumId w:val="28"/>
  </w:num>
  <w:num w:numId="28">
    <w:abstractNumId w:val="38"/>
  </w:num>
  <w:num w:numId="29">
    <w:abstractNumId w:val="32"/>
  </w:num>
  <w:num w:numId="30">
    <w:abstractNumId w:val="36"/>
  </w:num>
  <w:num w:numId="31">
    <w:abstractNumId w:val="25"/>
  </w:num>
  <w:num w:numId="32">
    <w:abstractNumId w:val="40"/>
  </w:num>
  <w:num w:numId="33">
    <w:abstractNumId w:val="3"/>
  </w:num>
  <w:num w:numId="34">
    <w:abstractNumId w:val="14"/>
  </w:num>
  <w:num w:numId="35">
    <w:abstractNumId w:val="37"/>
  </w:num>
  <w:num w:numId="36">
    <w:abstractNumId w:val="6"/>
  </w:num>
  <w:num w:numId="37">
    <w:abstractNumId w:val="16"/>
  </w:num>
  <w:num w:numId="38">
    <w:abstractNumId w:val="24"/>
  </w:num>
  <w:num w:numId="39">
    <w:abstractNumId w:val="20"/>
  </w:num>
  <w:num w:numId="40">
    <w:abstractNumId w:val="23"/>
  </w:num>
  <w:num w:numId="41">
    <w:abstractNumId w:val="43"/>
  </w:num>
  <w:num w:numId="42">
    <w:abstractNumId w:val="5"/>
  </w:num>
  <w:num w:numId="43">
    <w:abstractNumId w:val="1"/>
  </w:num>
  <w:num w:numId="44">
    <w:abstractNumId w:val="15"/>
  </w:num>
  <w:num w:numId="45">
    <w:abstractNumId w:val="39"/>
  </w:num>
  <w:num w:numId="46">
    <w:abstractNumId w:val="29"/>
  </w:num>
  <w:num w:numId="47">
    <w:abstractNumId w:val="12"/>
  </w:num>
  <w:num w:numId="4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de-DE"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09C"/>
    <w:rsid w:val="0004622D"/>
    <w:rsid w:val="00046F76"/>
    <w:rsid w:val="00047DE2"/>
    <w:rsid w:val="00050D4D"/>
    <w:rsid w:val="00051D46"/>
    <w:rsid w:val="0005227B"/>
    <w:rsid w:val="00052490"/>
    <w:rsid w:val="00052796"/>
    <w:rsid w:val="000535D0"/>
    <w:rsid w:val="00053A31"/>
    <w:rsid w:val="00053B38"/>
    <w:rsid w:val="00055E47"/>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361"/>
    <w:rsid w:val="000C44B0"/>
    <w:rsid w:val="000C5723"/>
    <w:rsid w:val="000C6405"/>
    <w:rsid w:val="000D0A1A"/>
    <w:rsid w:val="000D189C"/>
    <w:rsid w:val="000D2AB6"/>
    <w:rsid w:val="000D3410"/>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02F1"/>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9C1"/>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9B2"/>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1509"/>
    <w:rsid w:val="001927A9"/>
    <w:rsid w:val="0019300D"/>
    <w:rsid w:val="001940F1"/>
    <w:rsid w:val="00194435"/>
    <w:rsid w:val="001949C3"/>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3C4B"/>
    <w:rsid w:val="001B4058"/>
    <w:rsid w:val="001B44E0"/>
    <w:rsid w:val="001B502C"/>
    <w:rsid w:val="001B523D"/>
    <w:rsid w:val="001B7877"/>
    <w:rsid w:val="001B7B3D"/>
    <w:rsid w:val="001B7B93"/>
    <w:rsid w:val="001C0373"/>
    <w:rsid w:val="001C2448"/>
    <w:rsid w:val="001C28A0"/>
    <w:rsid w:val="001C3206"/>
    <w:rsid w:val="001C320A"/>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BC0"/>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5748B"/>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C7C33"/>
    <w:rsid w:val="002D0F44"/>
    <w:rsid w:val="002D10A0"/>
    <w:rsid w:val="002D26BB"/>
    <w:rsid w:val="002D35BB"/>
    <w:rsid w:val="002D3661"/>
    <w:rsid w:val="002D387D"/>
    <w:rsid w:val="002D4F67"/>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3118"/>
    <w:rsid w:val="002F3863"/>
    <w:rsid w:val="002F3E06"/>
    <w:rsid w:val="002F48EE"/>
    <w:rsid w:val="002F4D9E"/>
    <w:rsid w:val="002F5CDB"/>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2EE1"/>
    <w:rsid w:val="00313186"/>
    <w:rsid w:val="00314E99"/>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15E"/>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0874"/>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27DF"/>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27FD3"/>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0A57"/>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5D4D"/>
    <w:rsid w:val="0056739B"/>
    <w:rsid w:val="005673A0"/>
    <w:rsid w:val="00567781"/>
    <w:rsid w:val="005679E4"/>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C26"/>
    <w:rsid w:val="005D470E"/>
    <w:rsid w:val="005D5162"/>
    <w:rsid w:val="005D5646"/>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2C2"/>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4EA7"/>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08D1"/>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3BDA"/>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97A"/>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2DBF"/>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8DD"/>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2BB"/>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282C"/>
    <w:rsid w:val="008A4CF7"/>
    <w:rsid w:val="008A6C38"/>
    <w:rsid w:val="008A7A82"/>
    <w:rsid w:val="008A7A9C"/>
    <w:rsid w:val="008A7ACB"/>
    <w:rsid w:val="008B0382"/>
    <w:rsid w:val="008B1494"/>
    <w:rsid w:val="008B1671"/>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5BD2"/>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7442B"/>
    <w:rsid w:val="00980D66"/>
    <w:rsid w:val="0098123E"/>
    <w:rsid w:val="0098154E"/>
    <w:rsid w:val="00981B16"/>
    <w:rsid w:val="00982546"/>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2C63"/>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5FA"/>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1D7"/>
    <w:rsid w:val="00A35549"/>
    <w:rsid w:val="00A36CFE"/>
    <w:rsid w:val="00A371DD"/>
    <w:rsid w:val="00A37F05"/>
    <w:rsid w:val="00A4054C"/>
    <w:rsid w:val="00A41438"/>
    <w:rsid w:val="00A44684"/>
    <w:rsid w:val="00A44EAE"/>
    <w:rsid w:val="00A4519A"/>
    <w:rsid w:val="00A479A5"/>
    <w:rsid w:val="00A47B03"/>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5A6"/>
    <w:rsid w:val="00A70641"/>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3A85"/>
    <w:rsid w:val="00AA3DFD"/>
    <w:rsid w:val="00AA511A"/>
    <w:rsid w:val="00AA587C"/>
    <w:rsid w:val="00AA5987"/>
    <w:rsid w:val="00AA5F48"/>
    <w:rsid w:val="00AA5FB8"/>
    <w:rsid w:val="00AA763B"/>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4297"/>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177"/>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45D1"/>
    <w:rsid w:val="00B64D59"/>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5BCE"/>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A761F"/>
    <w:rsid w:val="00BB00E8"/>
    <w:rsid w:val="00BB0870"/>
    <w:rsid w:val="00BB12E3"/>
    <w:rsid w:val="00BB135C"/>
    <w:rsid w:val="00BB1582"/>
    <w:rsid w:val="00BB15C8"/>
    <w:rsid w:val="00BB2BD6"/>
    <w:rsid w:val="00BB4C45"/>
    <w:rsid w:val="00BB4E02"/>
    <w:rsid w:val="00BB51DA"/>
    <w:rsid w:val="00BB53F8"/>
    <w:rsid w:val="00BB5A30"/>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D7826"/>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47F9"/>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9B4"/>
    <w:rsid w:val="00C31E51"/>
    <w:rsid w:val="00C31F3E"/>
    <w:rsid w:val="00C34AEB"/>
    <w:rsid w:val="00C35653"/>
    <w:rsid w:val="00C3656E"/>
    <w:rsid w:val="00C369B9"/>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38BD"/>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C1B"/>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B6669"/>
    <w:rsid w:val="00CC0825"/>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15BAA"/>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475"/>
    <w:rsid w:val="00D877AB"/>
    <w:rsid w:val="00D90662"/>
    <w:rsid w:val="00D90CA8"/>
    <w:rsid w:val="00D91667"/>
    <w:rsid w:val="00D93D5A"/>
    <w:rsid w:val="00D94268"/>
    <w:rsid w:val="00D95216"/>
    <w:rsid w:val="00D9595E"/>
    <w:rsid w:val="00D95D3B"/>
    <w:rsid w:val="00D9636A"/>
    <w:rsid w:val="00DA0399"/>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1CA6"/>
    <w:rsid w:val="00DC1EC2"/>
    <w:rsid w:val="00DC234B"/>
    <w:rsid w:val="00DC35CE"/>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5D89"/>
    <w:rsid w:val="00DD630C"/>
    <w:rsid w:val="00DE0165"/>
    <w:rsid w:val="00DE04E1"/>
    <w:rsid w:val="00DE1D66"/>
    <w:rsid w:val="00DE3EE4"/>
    <w:rsid w:val="00DE404C"/>
    <w:rsid w:val="00DE4B26"/>
    <w:rsid w:val="00DE4DC2"/>
    <w:rsid w:val="00DE5374"/>
    <w:rsid w:val="00DE5BFD"/>
    <w:rsid w:val="00DE7862"/>
    <w:rsid w:val="00DE7E1E"/>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3757"/>
    <w:rsid w:val="00E14A35"/>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693B"/>
    <w:rsid w:val="00E27B9D"/>
    <w:rsid w:val="00E27E9C"/>
    <w:rsid w:val="00E309C2"/>
    <w:rsid w:val="00E30CCB"/>
    <w:rsid w:val="00E33D23"/>
    <w:rsid w:val="00E34ED0"/>
    <w:rsid w:val="00E36C79"/>
    <w:rsid w:val="00E37B26"/>
    <w:rsid w:val="00E409BA"/>
    <w:rsid w:val="00E40A56"/>
    <w:rsid w:val="00E41132"/>
    <w:rsid w:val="00E426BF"/>
    <w:rsid w:val="00E42974"/>
    <w:rsid w:val="00E432B2"/>
    <w:rsid w:val="00E43CEB"/>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120"/>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017"/>
    <w:rsid w:val="00F52014"/>
    <w:rsid w:val="00F53243"/>
    <w:rsid w:val="00F53310"/>
    <w:rsid w:val="00F53541"/>
    <w:rsid w:val="00F53E56"/>
    <w:rsid w:val="00F55B39"/>
    <w:rsid w:val="00F571A7"/>
    <w:rsid w:val="00F572EB"/>
    <w:rsid w:val="00F57CA0"/>
    <w:rsid w:val="00F60C91"/>
    <w:rsid w:val="00F613EF"/>
    <w:rsid w:val="00F633FA"/>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1FF9"/>
    <w:rsid w:val="00F823CF"/>
    <w:rsid w:val="00F853C6"/>
    <w:rsid w:val="00F86428"/>
    <w:rsid w:val="00F86AB7"/>
    <w:rsid w:val="00F86EA1"/>
    <w:rsid w:val="00F87034"/>
    <w:rsid w:val="00F876CC"/>
    <w:rsid w:val="00F9056B"/>
    <w:rsid w:val="00F9140B"/>
    <w:rsid w:val="00F91D30"/>
    <w:rsid w:val="00F931FF"/>
    <w:rsid w:val="00F93758"/>
    <w:rsid w:val="00F961A9"/>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2E0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Heading 1_a,heading 1,h17,h111,h121,h131,h141,h151,h161,h18,h112,h122,h132,h142,h152,h162,h19,h113,h123,h133,h143,h153,h163,NMP Heading 1,제목 1(no line)"/>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link w:val="Titre2Car"/>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heading 4"/>
    <w:basedOn w:val="Normal"/>
    <w:next w:val="Normal"/>
    <w:uiPriority w:val="9"/>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aliases w:val="bt,AvtalBrödtext, ändrad,ändrad,Bodytext,AvtalBrodtext,andrad,EHPT,Body Text2,Body3,compact,paragraph 2,body indent,- TF,Requirements,Body Text level 1,Response,Body Text ,à¹×éÍàÃ×èÍ§,Compliance,code,à¹,AvtalBr,bodytext,Block text,sp"/>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Titre2Car">
    <w:name w:val="Titre 2 Car"/>
    <w:aliases w:val="DO NOT USE_h2 Car,h2 Car,h21 Car,H2 Car,Head2A Car,2 Car,UNDERRUBRIK 1-2 Car"/>
    <w:link w:val="Titre2"/>
    <w:rsid w:val="00B85BCE"/>
    <w:rPr>
      <w:rFonts w:ascii="Arial" w:eastAsia="MS Gothic" w:hAnsi="Arial"/>
      <w:sz w:val="24"/>
      <w:szCs w:val="24"/>
    </w:rPr>
  </w:style>
  <w:style w:type="character" w:customStyle="1" w:styleId="CorpsdetexteCar">
    <w:name w:val="Corps de texte Car"/>
    <w:aliases w:val="bt Car,AvtalBrödtext Car, ändrad Car,ändrad Car,Bodytext Car,AvtalBrodtext Car,andrad Car,EHPT Car,Body Text2 Car,Body3 Car,compact Car,paragraph 2 Car,body indent Car,- TF Car,Requirements Car,Body Text level 1 Car,Response Car"/>
    <w:link w:val="Corpsdetexte"/>
    <w:rsid w:val="00B85BCE"/>
    <w:rPr>
      <w:rFonts w:eastAsia="MS Gothic"/>
      <w:sz w:val="24"/>
      <w:szCs w:val="24"/>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D7826"/>
    <w:rPr>
      <w:rFonts w:eastAsia="MS Mincho"/>
      <w:lang w:val="en-US" w:eastAsia="en-US"/>
    </w:rPr>
  </w:style>
  <w:style w:type="paragraph" w:customStyle="1" w:styleId="Style11">
    <w:name w:val="Style1.1"/>
    <w:basedOn w:val="Corpsdetexte"/>
    <w:qFormat/>
    <w:rsid w:val="00BD7826"/>
    <w:pPr>
      <w:tabs>
        <w:tab w:val="num" w:pos="-806"/>
      </w:tabs>
      <w:spacing w:before="240"/>
      <w:ind w:left="-806" w:hanging="567"/>
    </w:pPr>
    <w:rPr>
      <w:rFonts w:ascii="Arial" w:eastAsia="MS Mincho" w:hAnsi="Arial"/>
      <w:b/>
      <w:szCs w:val="20"/>
      <w:lang w:eastAsia="en-US"/>
    </w:rPr>
  </w:style>
  <w:style w:type="paragraph" w:customStyle="1" w:styleId="111Style2">
    <w:name w:val="1.1.1 Style 2"/>
    <w:basedOn w:val="Titre4"/>
    <w:qFormat/>
    <w:rsid w:val="00BD7826"/>
    <w:pPr>
      <w:numPr>
        <w:ilvl w:val="0"/>
        <w:numId w:val="0"/>
      </w:numPr>
      <w:tabs>
        <w:tab w:val="num" w:pos="-5500"/>
      </w:tabs>
      <w:spacing w:before="180"/>
      <w:ind w:left="1267" w:hanging="1267"/>
      <w:jc w:val="left"/>
    </w:pPr>
    <w:rPr>
      <w:rFonts w:eastAsia="Arial"/>
      <w:b/>
      <w:i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2218818">
      <w:bodyDiv w:val="1"/>
      <w:marLeft w:val="0"/>
      <w:marRight w:val="0"/>
      <w:marTop w:val="0"/>
      <w:marBottom w:val="0"/>
      <w:divBdr>
        <w:top w:val="none" w:sz="0" w:space="0" w:color="auto"/>
        <w:left w:val="none" w:sz="0" w:space="0" w:color="auto"/>
        <w:bottom w:val="none" w:sz="0" w:space="0" w:color="auto"/>
        <w:right w:val="none" w:sz="0" w:space="0" w:color="auto"/>
      </w:divBdr>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936449">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7BB7D5-58F5-4A0B-A1D4-DE9C68B3E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559</Words>
  <Characters>3079</Characters>
  <Application>Microsoft Office Word</Application>
  <DocSecurity>0</DocSecurity>
  <Lines>25</Lines>
  <Paragraphs>7</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Hewlett-Packard Company</Company>
  <LinksUpToDate>false</LinksUpToDate>
  <CharactersWithSpaces>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19</cp:revision>
  <cp:lastPrinted>2016-08-10T06:06:00Z</cp:lastPrinted>
  <dcterms:created xsi:type="dcterms:W3CDTF">2017-05-18T12:14:00Z</dcterms:created>
  <dcterms:modified xsi:type="dcterms:W3CDTF">2017-05-19T01:28:00Z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